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ECC9" w14:textId="5832C26C" w:rsidR="00D20C0D" w:rsidRDefault="00284721">
      <w:pPr>
        <w:rPr>
          <w:rFonts w:ascii="MyriadPro-BlackSemiExt" w:eastAsia="MyriadPro-BlackSemiExt" w:cs="MyriadPro-BlackSemiExt"/>
          <w:sz w:val="32"/>
          <w:szCs w:val="32"/>
        </w:rPr>
      </w:pPr>
      <w:r>
        <w:rPr>
          <w:sz w:val="32"/>
          <w:lang w:bidi="lv-LV"/>
        </w:rPr>
        <w:t>BINGO, 8+ gadi</w:t>
      </w:r>
    </w:p>
    <w:p w14:paraId="173E78E0" w14:textId="2E59821A" w:rsidR="00284721" w:rsidRDefault="00284721">
      <w:pPr>
        <w:rPr>
          <w:rFonts w:ascii="MyriadPro-Bold" w:eastAsia="MyriadPro-Bold" w:cs="MyriadPro-Bold"/>
          <w:b/>
          <w:bCs/>
          <w:sz w:val="18"/>
          <w:szCs w:val="18"/>
        </w:rPr>
      </w:pPr>
      <w:r>
        <w:rPr>
          <w:b/>
          <w:sz w:val="18"/>
          <w:lang w:bidi="lv-LV"/>
        </w:rPr>
        <w:t>INSTRUKCIJAS</w:t>
      </w:r>
    </w:p>
    <w:p w14:paraId="58DA0669" w14:textId="77777777" w:rsidR="00284721" w:rsidRDefault="00284721" w:rsidP="00284721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  <w:sz w:val="16"/>
          <w:szCs w:val="16"/>
        </w:rPr>
      </w:pPr>
      <w:r>
        <w:rPr>
          <w:b/>
          <w:sz w:val="19"/>
          <w:lang w:bidi="lv-LV"/>
        </w:rPr>
        <w:t xml:space="preserve">KOMPLEKTĀ IETILPST: </w:t>
      </w:r>
      <w:r>
        <w:rPr>
          <w:sz w:val="16"/>
          <w:lang w:bidi="lv-LV"/>
        </w:rPr>
        <w:t>1 metāla Bingo būris, 90 numurētas bumbiņas,</w:t>
      </w:r>
    </w:p>
    <w:p w14:paraId="3AE0E342" w14:textId="33131D48" w:rsidR="00284721" w:rsidRDefault="00284721" w:rsidP="00284721">
      <w:pPr>
        <w:rPr>
          <w:rFonts w:ascii="MyriadPro-Cond" w:eastAsia="MyriadPro-Cond" w:cs="MyriadPro-Cond"/>
          <w:sz w:val="16"/>
          <w:szCs w:val="16"/>
        </w:rPr>
      </w:pPr>
      <w:r>
        <w:rPr>
          <w:sz w:val="16"/>
          <w:lang w:bidi="lv-LV"/>
        </w:rPr>
        <w:t>1 galvenais Bingo tablo, 24 abpusējas Bingo kārtis, 150 Bingo marķieri.</w:t>
      </w:r>
    </w:p>
    <w:p w14:paraId="1FDF61A6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BoldCond" w:eastAsia="MyriadPro-BoldCond" w:cs="MyriadPro-BoldCond"/>
          <w:b/>
          <w:bCs/>
        </w:rPr>
      </w:pPr>
      <w:r>
        <w:rPr>
          <w:b/>
          <w:lang w:bidi="lv-LV"/>
        </w:rPr>
        <w:t>SAGATAVOŠANĀS:</w:t>
      </w:r>
    </w:p>
    <w:p w14:paraId="57B1EC21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>Lai atvērtu Bingo būri, paceliet durvis būra augšpusē. Ievietojiet</w:t>
      </w:r>
    </w:p>
    <w:p w14:paraId="5FBC8B1F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>numurētās bumbiņas būrī un aizveriet durtiņas, lai tās nofiksētos.</w:t>
      </w:r>
    </w:p>
    <w:p w14:paraId="5F321BFF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BoldCond" w:eastAsia="MyriadPro-BoldCond" w:cs="MyriadPro-BoldCond"/>
          <w:b/>
          <w:bCs/>
        </w:rPr>
      </w:pPr>
      <w:r>
        <w:rPr>
          <w:b/>
          <w:lang w:bidi="lv-LV"/>
        </w:rPr>
        <w:t>SPĒLES GAITA:</w:t>
      </w:r>
    </w:p>
    <w:p w14:paraId="2068E985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>1) Katrs spēlētājs pēc kārtas kļūst par saucēju. Saucējs saņem Bingo būri, 90 numurētas bumbiņas un galveno tablo.</w:t>
      </w:r>
    </w:p>
    <w:p w14:paraId="73D34BA9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 xml:space="preserve"> Bumbiņas ievieto būrī u</w:t>
      </w:r>
    </w:p>
    <w:p w14:paraId="0C0A8304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>n katram spēlētājam iedod 1 vai vairākas Bingo kartes un dažus no marķieriem.</w:t>
      </w:r>
    </w:p>
    <w:p w14:paraId="0A50E43B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</w:p>
    <w:p w14:paraId="5C50729D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>2) Saucējs paziņo, kāda spēle tiks izspēlēta:</w:t>
      </w:r>
    </w:p>
    <w:p w14:paraId="1549E04E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b/>
          <w:lang w:bidi="lv-LV"/>
        </w:rPr>
        <w:t xml:space="preserve">Viena rinda - </w:t>
      </w:r>
      <w:r>
        <w:rPr>
          <w:lang w:bidi="lv-LV"/>
        </w:rPr>
        <w:t>1 rinda ar 5 skaitļiem, kas atbilst izsauktajiem skaitļiem.</w:t>
      </w:r>
    </w:p>
    <w:p w14:paraId="4E2EE00F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b/>
          <w:lang w:bidi="lv-LV"/>
        </w:rPr>
        <w:t xml:space="preserve">Divas rinda - </w:t>
      </w:r>
      <w:r>
        <w:rPr>
          <w:lang w:bidi="lv-LV"/>
        </w:rPr>
        <w:t>2 rindas ar 5 skaitļiem, kas atbilst izsauktajiem skaitļiem.</w:t>
      </w:r>
    </w:p>
    <w:p w14:paraId="7756837A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b/>
          <w:lang w:bidi="lv-LV"/>
        </w:rPr>
        <w:t xml:space="preserve">Pilna māja - </w:t>
      </w:r>
      <w:r>
        <w:rPr>
          <w:lang w:bidi="lv-LV"/>
        </w:rPr>
        <w:t>3 rindas ar 15 skaitļiem, kas atbilst izsauktajiem skaitļiem.</w:t>
      </w:r>
    </w:p>
    <w:p w14:paraId="4CFECBF7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>Spēle tiek sākta, griežot Bingo būra rokturi, lai sajauktu bumbiņas.</w:t>
      </w:r>
    </w:p>
    <w:p w14:paraId="65E3AB41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 xml:space="preserve"> Kad būris tiek pagriezts atpakaļ, viena no bumbiņām automātiski iekrīt metāla selektora kausā un ripo uz priekšu.</w:t>
      </w:r>
    </w:p>
    <w:p w14:paraId="6A2DC55C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</w:p>
    <w:p w14:paraId="78F95813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 xml:space="preserve"> Saucējs izņem bumbiņu no kausa, nosauc numuru, kas norādīts</w:t>
      </w:r>
    </w:p>
    <w:p w14:paraId="10B4C232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>uz bumbiņas, un tad novieto bumbiņu attiecīgajā vietā uz galvenā</w:t>
      </w:r>
    </w:p>
    <w:p w14:paraId="018AC438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>tablo. Spēle turpinās, līdz kāds no spēlētājiem izsauc "Bingo".</w:t>
      </w:r>
    </w:p>
    <w:p w14:paraId="439659D5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>Pēc tam saucējs pārbauda laimējušo bingo kārti, salīdzinot to ar galveno tablo, lai</w:t>
      </w:r>
    </w:p>
    <w:p w14:paraId="7A0110C6" w14:textId="77777777" w:rsidR="00695BCF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</w:rPr>
      </w:pPr>
      <w:r>
        <w:rPr>
          <w:lang w:bidi="lv-LV"/>
        </w:rPr>
        <w:t>pārliecinātos, ka skaitļi ir pareizi. Ja tā ir, spēlētājs, kurš uz</w:t>
      </w:r>
    </w:p>
    <w:p w14:paraId="7F572C78" w14:textId="2847FF34" w:rsidR="00695BCF" w:rsidRDefault="00695BCF" w:rsidP="00695BCF">
      <w:pPr>
        <w:rPr>
          <w:rFonts w:ascii="MyriadPro-Cond" w:eastAsia="MyriadPro-Cond" w:cs="MyriadPro-Cond"/>
        </w:rPr>
      </w:pPr>
      <w:r>
        <w:rPr>
          <w:lang w:bidi="lv-LV"/>
        </w:rPr>
        <w:t>ir izsaucis "Bingo", uzvar.</w:t>
      </w:r>
    </w:p>
    <w:p w14:paraId="6D1644CE" w14:textId="422A6237" w:rsidR="009551E7" w:rsidRDefault="009551E7" w:rsidP="00695BCF">
      <w:r>
        <w:rPr>
          <w:b/>
          <w:sz w:val="16"/>
          <w:lang w:bidi="lv-LV"/>
        </w:rPr>
        <w:t xml:space="preserve">BRĪDINĀJUMS: </w:t>
      </w:r>
      <w:r>
        <w:rPr>
          <w:sz w:val="17"/>
          <w:lang w:bidi="lv-LV"/>
        </w:rPr>
        <w:t>NOSMAKŠANAS BRIESMAS – Sīkas detaļas. Nav piemērots bērniem līdz trīs gadu vecumam.</w:t>
      </w:r>
    </w:p>
    <w:sectPr w:rsidR="009551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yriadPro-BlackSemiEx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C7"/>
    <w:rsid w:val="000B3B66"/>
    <w:rsid w:val="00284721"/>
    <w:rsid w:val="004234B8"/>
    <w:rsid w:val="005478C7"/>
    <w:rsid w:val="005D3355"/>
    <w:rsid w:val="00695BCF"/>
    <w:rsid w:val="009551E7"/>
    <w:rsid w:val="00C71DF9"/>
    <w:rsid w:val="00D2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418E"/>
  <w15:chartTrackingRefBased/>
  <w15:docId w15:val="{0B028853-9BAB-4EF8-A861-DDF53A69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28</Lines>
  <Paragraphs>24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Šarkutė</dc:creator>
  <cp:keywords/>
  <dc:description/>
  <cp:lastModifiedBy>Aabwell Tõlkebüroo</cp:lastModifiedBy>
  <cp:revision>3</cp:revision>
  <dcterms:created xsi:type="dcterms:W3CDTF">2023-02-10T10:16:00Z</dcterms:created>
  <dcterms:modified xsi:type="dcterms:W3CDTF">2023-02-10T10:16:00Z</dcterms:modified>
</cp:coreProperties>
</file>